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color w:val="2563EB"/>
          <w:sz w:val="30"/>
          <w:szCs w:val="30"/>
        </w:rPr>
        <w:t xml:space="preserve">LEADRA.IO</w:t>
      </w:r>
    </w:p>
    <w:p>
      <w:pPr>
        <w:spacing w:after="40"/>
        <w:jc w:val="center"/>
      </w:pPr>
      <w:r>
        <w:rPr>
          <w:b/>
          <w:bCs/>
          <w:color w:val="0B1B3B"/>
          <w:sz w:val="30"/>
          <w:szCs w:val="30"/>
        </w:rPr>
        <w:t xml:space="preserve">Dental Growth System — Services Agreement</w:t>
      </w:r>
    </w:p>
    <w:p>
      <w:pPr>
        <w:spacing w:after="200"/>
        <w:jc w:val="center"/>
      </w:pPr>
      <w:r>
        <w:rPr>
          <w:i/>
          <w:iCs/>
          <w:color w:val="10803A"/>
          <w:sz w:val="20"/>
          <w:szCs w:val="20"/>
        </w:rPr>
        <w:t xml:space="preserve">90 New Patients + 1,000,000 Views in 90 Days — or You Don’t Pay</w:t>
      </w:r>
    </w:p>
    <w:p>
      <w:pPr>
        <w:spacing w:after="120"/>
      </w:pPr>
      <w:r>
        <w:rPr>
          <w:b w:val="false"/>
          <w:bCs w:val="false"/>
          <w:i w:val="false"/>
          <w:iCs w:val="false"/>
          <w:color w:val="000000"/>
          <w:sz w:val="21"/>
          <w:szCs w:val="21"/>
        </w:rPr>
        <w:t xml:space="preserve">This Services Agreement (the “Agreement”) is entered into as of the Effective Date below by and between Leadra.io, operated by Bridge Supply Co LLC, Charlotte, North Carolina (“Leadra,” “we,” or “Provider”), and the client identified below (“Client,” “you”). The Parties agree as follows. Capitalized terms are defined where they appear.</w:t>
      </w:r>
    </w:p>
    <w:p>
      <w:pPr>
        <w:pStyle w:val="Heading1"/>
      </w:pPr>
      <w:r>
        <w:t xml:space="preserve">1. Order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B8C0D0" w:sz="6"/>
              <w:right w:val="none"/>
            </w:tcBorders>
            <w:tcMar>
              <w:top w:type="dxa" w:w="60"/>
              <w:left w:type="dxa" w:w="60"/>
              <w:bottom w:type="dxa" w:w="60"/>
              <w:right w:type="dxa" w:w="120"/>
            </w:tcMar>
          </w:tcPr>
          <w:p>
            <w:r>
              <w:rPr>
                <w:color w:val="666666"/>
                <w:sz w:val="18"/>
                <w:szCs w:val="18"/>
              </w:rPr>
              <w:t xml:space="preserve">Client — Practice Legal Name</w:t>
            </w:r>
          </w:p>
        </w:tc>
        <w:tc>
          <w:tcPr>
            <w:tcW w:type="dxa" w:w="4680"/>
            <w:tcBorders>
              <w:top w:val="none"/>
              <w:left w:val="none"/>
              <w:bottom w:val="single" w:color="B8C0D0" w:sz="6"/>
              <w:right w:val="none"/>
            </w:tcBorders>
            <w:tcMar>
              <w:top w:type="dxa" w:w="60"/>
              <w:left w:type="dxa" w:w="60"/>
              <w:bottom w:type="dxa" w:w="60"/>
              <w:right w:type="dxa" w:w="120"/>
            </w:tcMar>
          </w:tcPr>
          <w:p>
            <w:r>
              <w:rPr>
                <w:color w:val="666666"/>
                <w:sz w:val="18"/>
                <w:szCs w:val="18"/>
              </w:rPr>
              <w:t xml:space="preserve">DBA / Practice Name</w:t>
            </w:r>
          </w:p>
        </w:tc>
      </w:tr>
      <w:tr>
        <w:tc>
          <w:tcPr>
            <w:tcW w:type="dxa" w:w="4680"/>
            <w:tcBorders>
              <w:top w:val="none"/>
              <w:left w:val="none"/>
              <w:bottom w:val="single" w:color="B8C0D0" w:sz="6"/>
              <w:right w:val="none"/>
            </w:tcBorders>
            <w:tcMar>
              <w:top w:type="dxa" w:w="60"/>
              <w:left w:type="dxa" w:w="60"/>
              <w:bottom w:type="dxa" w:w="60"/>
              <w:right w:type="dxa" w:w="120"/>
            </w:tcMar>
          </w:tcPr>
          <w:p>
            <w:r>
              <w:rPr>
                <w:color w:val="666666"/>
                <w:sz w:val="18"/>
                <w:szCs w:val="18"/>
              </w:rPr>
              <w:t xml:space="preserve">Authorized Signer (Name)</w:t>
            </w:r>
          </w:p>
        </w:tc>
        <w:tc>
          <w:tcPr>
            <w:tcW w:type="dxa" w:w="4680"/>
            <w:tcBorders>
              <w:top w:val="none"/>
              <w:left w:val="none"/>
              <w:bottom w:val="single" w:color="B8C0D0" w:sz="6"/>
              <w:right w:val="none"/>
            </w:tcBorders>
            <w:tcMar>
              <w:top w:type="dxa" w:w="60"/>
              <w:left w:type="dxa" w:w="60"/>
              <w:bottom w:type="dxa" w:w="60"/>
              <w:right w:type="dxa" w:w="120"/>
            </w:tcMar>
          </w:tcPr>
          <w:p>
            <w:r>
              <w:rPr>
                <w:color w:val="666666"/>
                <w:sz w:val="18"/>
                <w:szCs w:val="18"/>
              </w:rPr>
              <w:t xml:space="preserve">Title</w:t>
            </w:r>
          </w:p>
        </w:tc>
      </w:tr>
      <w:tr>
        <w:tc>
          <w:tcPr>
            <w:tcW w:type="dxa" w:w="4680"/>
            <w:tcBorders>
              <w:top w:val="none"/>
              <w:left w:val="none"/>
              <w:bottom w:val="single" w:color="B8C0D0" w:sz="6"/>
              <w:right w:val="none"/>
            </w:tcBorders>
            <w:tcMar>
              <w:top w:type="dxa" w:w="60"/>
              <w:left w:type="dxa" w:w="60"/>
              <w:bottom w:type="dxa" w:w="60"/>
              <w:right w:type="dxa" w:w="120"/>
            </w:tcMar>
          </w:tcPr>
          <w:p>
            <w:r>
              <w:rPr>
                <w:color w:val="666666"/>
                <w:sz w:val="18"/>
                <w:szCs w:val="18"/>
              </w:rPr>
              <w:t xml:space="preserve">Email</w:t>
            </w:r>
          </w:p>
        </w:tc>
        <w:tc>
          <w:tcPr>
            <w:tcW w:type="dxa" w:w="4680"/>
            <w:tcBorders>
              <w:top w:val="none"/>
              <w:left w:val="none"/>
              <w:bottom w:val="single" w:color="B8C0D0" w:sz="6"/>
              <w:right w:val="none"/>
            </w:tcBorders>
            <w:tcMar>
              <w:top w:type="dxa" w:w="60"/>
              <w:left w:type="dxa" w:w="60"/>
              <w:bottom w:type="dxa" w:w="60"/>
              <w:right w:type="dxa" w:w="120"/>
            </w:tcMar>
          </w:tcPr>
          <w:p>
            <w:r>
              <w:rPr>
                <w:color w:val="666666"/>
                <w:sz w:val="18"/>
                <w:szCs w:val="18"/>
              </w:rPr>
              <w:t xml:space="preserve">Phone</w:t>
            </w:r>
          </w:p>
        </w:tc>
      </w:tr>
      <w:tr>
        <w:tc>
          <w:tcPr>
            <w:tcW w:type="dxa" w:w="4680"/>
            <w:tcBorders>
              <w:top w:val="none"/>
              <w:left w:val="none"/>
              <w:bottom w:val="single" w:color="B8C0D0" w:sz="6"/>
              <w:right w:val="none"/>
            </w:tcBorders>
            <w:tcMar>
              <w:top w:type="dxa" w:w="60"/>
              <w:left w:type="dxa" w:w="60"/>
              <w:bottom w:type="dxa" w:w="60"/>
              <w:right w:type="dxa" w:w="120"/>
            </w:tcMar>
          </w:tcPr>
          <w:p>
            <w:r>
              <w:rPr>
                <w:color w:val="666666"/>
                <w:sz w:val="18"/>
                <w:szCs w:val="18"/>
              </w:rPr>
              <w:t xml:space="preserve">Practice Address</w:t>
            </w:r>
          </w:p>
        </w:tc>
        <w:tc>
          <w:tcPr>
            <w:tcW w:type="dxa" w:w="4680"/>
            <w:tcBorders>
              <w:top w:val="none"/>
              <w:left w:val="none"/>
              <w:bottom w:val="single" w:color="B8C0D0" w:sz="6"/>
              <w:right w:val="none"/>
            </w:tcBorders>
            <w:tcMar>
              <w:top w:type="dxa" w:w="60"/>
              <w:left w:type="dxa" w:w="60"/>
              <w:bottom w:type="dxa" w:w="60"/>
              <w:right w:type="dxa" w:w="120"/>
            </w:tcMar>
          </w:tcPr>
          <w:p>
            <w:r>
              <w:rPr>
                <w:color w:val="666666"/>
                <w:sz w:val="18"/>
                <w:szCs w:val="18"/>
              </w:rPr>
              <w:t xml:space="preserve">City / State / ZIP</w:t>
            </w:r>
          </w:p>
        </w:tc>
      </w:tr>
      <w:tr>
        <w:tc>
          <w:tcPr>
            <w:tcW w:type="dxa" w:w="4680"/>
            <w:tcBorders>
              <w:top w:val="none"/>
              <w:left w:val="none"/>
              <w:bottom w:val="single" w:color="B8C0D0" w:sz="6"/>
              <w:right w:val="none"/>
            </w:tcBorders>
            <w:tcMar>
              <w:top w:type="dxa" w:w="60"/>
              <w:left w:type="dxa" w:w="60"/>
              <w:bottom w:type="dxa" w:w="60"/>
              <w:right w:type="dxa" w:w="120"/>
            </w:tcMar>
          </w:tcPr>
          <w:p>
            <w:r>
              <w:rPr>
                <w:color w:val="666666"/>
                <w:sz w:val="18"/>
                <w:szCs w:val="18"/>
              </w:rPr>
              <w:t xml:space="preserve">Effective Date</w:t>
            </w:r>
          </w:p>
        </w:tc>
        <w:tc>
          <w:tcPr>
            <w:tcW w:type="dxa" w:w="4680"/>
            <w:tcBorders>
              <w:top w:val="none"/>
              <w:left w:val="none"/>
              <w:bottom w:val="single" w:color="B8C0D0" w:sz="6"/>
              <w:right w:val="none"/>
            </w:tcBorders>
            <w:tcMar>
              <w:top w:type="dxa" w:w="60"/>
              <w:left w:type="dxa" w:w="60"/>
              <w:bottom w:type="dxa" w:w="60"/>
              <w:right w:type="dxa" w:w="120"/>
            </w:tcMar>
          </w:tcPr>
          <w:p>
            <w:r>
              <w:rPr>
                <w:color w:val="666666"/>
                <w:sz w:val="18"/>
                <w:szCs w:val="18"/>
              </w:rPr>
              <w:t xml:space="preserve">Target Launch Date</w:t>
            </w:r>
          </w:p>
        </w:tc>
      </w:tr>
      <w:tr>
        <w:tc>
          <w:tcPr>
            <w:tcW w:type="dxa" w:w="4680"/>
            <w:tcBorders>
              <w:top w:val="none"/>
              <w:left w:val="none"/>
              <w:bottom w:val="single" w:color="B8C0D0" w:sz="6"/>
              <w:right w:val="none"/>
            </w:tcBorders>
            <w:tcMar>
              <w:top w:type="dxa" w:w="60"/>
              <w:left w:type="dxa" w:w="60"/>
              <w:bottom w:type="dxa" w:w="60"/>
              <w:right w:type="dxa" w:w="120"/>
            </w:tcMar>
          </w:tcPr>
          <w:p>
            <w:r>
              <w:rPr>
                <w:color w:val="666666"/>
                <w:sz w:val="18"/>
                <w:szCs w:val="18"/>
              </w:rPr>
              <w:t xml:space="preserve">Average Case Value Tier (Schedule B)</w:t>
            </w:r>
          </w:p>
        </w:tc>
        <w:tc>
          <w:tcPr>
            <w:tcW w:type="dxa" w:w="4680"/>
            <w:tcBorders>
              <w:top w:val="none"/>
              <w:left w:val="none"/>
              <w:bottom w:val="single" w:color="B8C0D0" w:sz="6"/>
              <w:right w:val="none"/>
            </w:tcBorders>
            <w:tcMar>
              <w:top w:type="dxa" w:w="60"/>
              <w:left w:type="dxa" w:w="60"/>
              <w:bottom w:type="dxa" w:w="60"/>
              <w:right w:type="dxa" w:w="120"/>
            </w:tcMar>
          </w:tcPr>
          <w:p>
            <w:r>
              <w:rPr>
                <w:color w:val="666666"/>
                <w:sz w:val="18"/>
                <w:szCs w:val="18"/>
              </w:rPr>
              <w:t xml:space="preserve">Committed 90-Day Ad Budget (Schedule B)</w:t>
            </w:r>
          </w:p>
        </w:tc>
      </w:tr>
    </w:tbl>
    <w:p>
      <w:pPr>
        <w:spacing w:after="40" w:before="160"/>
      </w:pPr>
      <w:r>
        <w:rPr>
          <w:b/>
          <w:bCs/>
          <w:sz w:val="23"/>
          <w:szCs w:val="23"/>
        </w:rPr>
        <w:t xml:space="preserve">Service Fee: </w:t>
      </w:r>
      <w:r>
        <w:rPr>
          <w:strike/>
          <w:color w:val="666666"/>
          <w:sz w:val="23"/>
          <w:szCs w:val="23"/>
        </w:rPr>
        <w:t xml:space="preserve">$5,900 USD</w:t>
      </w:r>
      <w:r>
        <w:rPr>
          <w:color w:val="666666"/>
          <w:sz w:val="21"/>
          <w:szCs w:val="21"/>
        </w:rPr>
        <w:t xml:space="preserve"> regular   ·   </w:t>
      </w:r>
      <w:r>
        <w:rPr>
          <w:b/>
          <w:bCs/>
          <w:color w:val="10803A"/>
          <w:sz w:val="23"/>
          <w:szCs w:val="23"/>
        </w:rPr>
        <w:t xml:space="preserve">$4,900 USD</w:t>
      </w:r>
      <w:r>
        <w:rPr>
          <w:b/>
          <w:bCs/>
          <w:color w:val="10803A"/>
          <w:sz w:val="21"/>
          <w:szCs w:val="21"/>
        </w:rPr>
        <w:t xml:space="preserve"> reservation-date price </w:t>
      </w:r>
      <w:r>
        <w:rPr>
          <w:sz w:val="21"/>
          <w:szCs w:val="21"/>
        </w:rPr>
        <w:t xml:space="preserve">(if signed on the date of the strategy call). One-time; payable in full at signing or in monthly installments via Klarna/Affirm. Ad spend is separate (Section 4 &amp; Schedule B).</w:t>
      </w:r>
    </w:p>
    <w:p>
      <w:pPr>
        <w:pStyle w:val="Heading1"/>
      </w:pPr>
      <w:r>
        <w:t xml:space="preserve">2. Scope of Services</w:t>
      </w:r>
    </w:p>
    <w:p>
      <w:pPr>
        <w:spacing w:after="120"/>
      </w:pPr>
      <w:r>
        <w:rPr>
          <w:b w:val="false"/>
          <w:bCs w:val="false"/>
          <w:i w:val="false"/>
          <w:iCs w:val="false"/>
          <w:color w:val="000000"/>
          <w:sz w:val="21"/>
          <w:szCs w:val="21"/>
        </w:rPr>
        <w:t xml:space="preserve">Leadra will design, build, and operate a patient-acquisition system across two phases. A summary appears below; the full list is in Schedule A. Leadra determines the methods, tools, and tactics used to deliver the results and may adjust them in its professional judgment.</w:t>
      </w:r>
    </w:p>
    <w:p>
      <w:pPr>
        <w:pStyle w:val="Heading2"/>
      </w:pPr>
      <w:r>
        <w:t xml:space="preserve">Phase 1 — Setup (first ~7 days)</w:t>
      </w:r>
    </w:p>
    <w:p>
      <w:pPr>
        <w:pStyle w:val="ListParagraph"/>
        <w:numPr>
          <w:ilvl w:val="0"/>
          <w:numId w:val="2"/>
        </w:numPr>
        <w:spacing w:after="60"/>
      </w:pPr>
      <w:r>
        <w:rPr>
          <w:sz w:val="21"/>
          <w:szCs w:val="21"/>
        </w:rPr>
        <w:t xml:space="preserve">Marketing, competitor, website, call, and CRM analysis; AI Voice Assistant configuration; social setup and an initial content batch; custom performance plan and growth report.</w:t>
      </w:r>
    </w:p>
    <w:p>
      <w:pPr>
        <w:pStyle w:val="Heading2"/>
      </w:pPr>
      <w:r>
        <w:t xml:space="preserve">Phase 2 — Execution &amp; Growth (Days 7–90)</w:t>
      </w:r>
    </w:p>
    <w:p>
      <w:pPr>
        <w:pStyle w:val="ListParagraph"/>
        <w:numPr>
          <w:ilvl w:val="0"/>
          <w:numId w:val="2"/>
        </w:numPr>
        <w:spacing w:after="60"/>
      </w:pPr>
      <w:r>
        <w:rPr>
          <w:sz w:val="21"/>
          <w:szCs w:val="21"/>
        </w:rPr>
        <w:t xml:space="preserve">Managed Google + Meta advertising; Content Engine (up to 60+ pieces); website/funnel, CRM, chatbot, and booking; reviews, local SEO and AI-search visibility; reactivation; tracking, scaling, and support.</w:t>
      </w:r>
    </w:p>
    <w:p>
      <w:pPr>
        <w:pStyle w:val="Heading1"/>
      </w:pPr>
      <w:r>
        <w:t xml:space="preserve">3. Performance Guarantee &amp; Sole Remedy</w:t>
      </w:r>
    </w:p>
    <w:p>
      <w:pPr>
        <w:spacing w:after="120"/>
      </w:pPr>
      <w:r>
        <w:rPr>
          <w:b/>
          <w:bCs/>
          <w:i w:val="false"/>
          <w:iCs w:val="false"/>
          <w:color w:val="000000"/>
          <w:sz w:val="21"/>
          <w:szCs w:val="21"/>
        </w:rPr>
        <w:t xml:space="preserve">Subject to the Client satisfying every obligation in Sections 5–6 and Schedule B, Leadra guarantees that within ninety (90) days of campaign launch the Client will receive 90 new-patient appointments and 1,000,000 social media views.</w:t>
      </w:r>
    </w:p>
    <w:p>
      <w:pPr>
        <w:spacing w:after="120"/>
      </w:pPr>
      <w:r>
        <w:rPr>
          <w:b w:val="false"/>
          <w:bCs w:val="false"/>
          <w:i w:val="false"/>
          <w:iCs w:val="false"/>
          <w:color w:val="000000"/>
          <w:sz w:val="21"/>
          <w:szCs w:val="21"/>
        </w:rPr>
        <w:t xml:space="preserve">Definitions: a “new-patient appointment” is a scheduled appointment generated through the Leadra system; “views” means aggregate views across the platforms Leadra manages during the term.</w:t>
      </w:r>
    </w:p>
    <w:p>
      <w:pPr>
        <w:spacing w:after="120"/>
      </w:pPr>
      <w:r>
        <w:rPr>
          <w:b/>
          <w:bCs/>
          <w:i w:val="false"/>
          <w:iCs w:val="false"/>
          <w:color w:val="000000"/>
          <w:sz w:val="21"/>
          <w:szCs w:val="21"/>
        </w:rPr>
        <w:t xml:space="preserve">Sole and exclusive remedy. If both targets are not met at the end of the 90-day period AND the Client fully met every obligation in Sections 5–6 and Schedule B, the Client’s sole and exclusive remedy is a refund of the service fee actually paid. This refund is the Client’s only remedy; Leadra has no other liability for failing to meet the targets.</w:t>
      </w:r>
    </w:p>
    <w:p>
      <w:pPr>
        <w:pStyle w:val="ListParagraph"/>
        <w:numPr>
          <w:ilvl w:val="0"/>
          <w:numId w:val="2"/>
        </w:numPr>
        <w:spacing w:after="60"/>
      </w:pPr>
      <w:r>
        <w:rPr>
          <w:sz w:val="21"/>
          <w:szCs w:val="21"/>
        </w:rPr>
        <w:t xml:space="preserve">The refund excludes, and Leadra never refunds, advertising spend, which is paid by the Client directly to Google/Meta (not to Leadra).</w:t>
      </w:r>
    </w:p>
    <w:p>
      <w:pPr>
        <w:pStyle w:val="ListParagraph"/>
        <w:numPr>
          <w:ilvl w:val="0"/>
          <w:numId w:val="2"/>
        </w:numPr>
        <w:spacing w:after="60"/>
      </w:pPr>
      <w:r>
        <w:rPr>
          <w:sz w:val="21"/>
          <w:szCs w:val="21"/>
        </w:rPr>
        <w:t xml:space="preserve">The guarantee and any refund are void if the Client breaches this Agreement, fails to fund the committed budget, delays approvals or access, terminates early, changes its offer/pricing/availability, or cannot accept patients due to licensing, staffing, or operational issues.</w:t>
      </w:r>
    </w:p>
    <w:p>
      <w:pPr>
        <w:pStyle w:val="ListParagraph"/>
        <w:numPr>
          <w:ilvl w:val="0"/>
          <w:numId w:val="2"/>
        </w:numPr>
        <w:spacing w:after="60"/>
      </w:pPr>
      <w:r>
        <w:rPr>
          <w:sz w:val="21"/>
          <w:szCs w:val="21"/>
        </w:rPr>
        <w:t xml:space="preserve">A refund request must be made in writing within fifteen (15) days after the end of the 90-day period; otherwise it is waived.</w:t>
      </w:r>
    </w:p>
    <w:p>
      <w:pPr>
        <w:pStyle w:val="Heading1"/>
      </w:pPr>
      <w:r>
        <w:t xml:space="preserve">4. Fees, Payment &amp; Chargebacks</w:t>
      </w:r>
    </w:p>
    <w:p>
      <w:pPr>
        <w:pStyle w:val="ListParagraph"/>
        <w:numPr>
          <w:ilvl w:val="0"/>
          <w:numId w:val="2"/>
        </w:numPr>
        <w:spacing w:after="60"/>
      </w:pPr>
      <w:r>
        <w:rPr>
          <w:sz w:val="21"/>
          <w:szCs w:val="21"/>
        </w:rPr>
        <w:t xml:space="preserve">Service Fee: regular price $5,900 USD, reduced to $4,900 USD if the Client signs on the reservation date (the date of the discovery/strategy call). One-time, due at signing via the Leadra payment link; installments (Klarna/Affirm) available subject to approval.</w:t>
      </w:r>
    </w:p>
    <w:p>
      <w:pPr>
        <w:pStyle w:val="ListParagraph"/>
        <w:numPr>
          <w:ilvl w:val="0"/>
          <w:numId w:val="2"/>
        </w:numPr>
        <w:spacing w:after="60"/>
      </w:pPr>
      <w:r>
        <w:rPr>
          <w:sz w:val="21"/>
          <w:szCs w:val="21"/>
        </w:rPr>
        <w:t xml:space="preserve">Non-refundable. Except for the guarantee remedy in Section 3, all fees are non-refundable.</w:t>
      </w:r>
    </w:p>
    <w:p>
      <w:pPr>
        <w:pStyle w:val="ListParagraph"/>
        <w:numPr>
          <w:ilvl w:val="0"/>
          <w:numId w:val="2"/>
        </w:numPr>
        <w:spacing w:after="60"/>
      </w:pPr>
      <w:r>
        <w:rPr>
          <w:sz w:val="21"/>
          <w:szCs w:val="21"/>
        </w:rPr>
        <w:t xml:space="preserve">Ad spend is separate and paid by the Client directly to Google/Meta through Client-owned accounts. The Client owns and funds these accounts at all times.</w:t>
      </w:r>
    </w:p>
    <w:p>
      <w:pPr>
        <w:pStyle w:val="ListParagraph"/>
        <w:numPr>
          <w:ilvl w:val="0"/>
          <w:numId w:val="2"/>
        </w:numPr>
        <w:spacing w:after="60"/>
      </w:pPr>
      <w:r>
        <w:rPr>
          <w:sz w:val="21"/>
          <w:szCs w:val="21"/>
        </w:rPr>
        <w:t xml:space="preserve">Late amounts accrue interest at 1.5% per month (or the legal maximum, if lower). Leadra may suspend or pause services for any unpaid or reversed amount.</w:t>
      </w:r>
    </w:p>
    <w:p>
      <w:pPr>
        <w:pStyle w:val="ListParagraph"/>
        <w:numPr>
          <w:ilvl w:val="0"/>
          <w:numId w:val="2"/>
        </w:numPr>
        <w:spacing w:after="60"/>
      </w:pPr>
      <w:r>
        <w:rPr>
          <w:sz w:val="21"/>
          <w:szCs w:val="21"/>
        </w:rPr>
        <w:t xml:space="preserve">Chargeback waiver. The Client agrees to resolve all billing disputes under this Agreement and not to initiate card chargebacks or payment reversals. The Client is responsible for Leadra’s costs of collection, including reasonable attorneys’ fees.</w:t>
      </w:r>
    </w:p>
    <w:p>
      <w:pPr>
        <w:pStyle w:val="ListParagraph"/>
        <w:numPr>
          <w:ilvl w:val="0"/>
          <w:numId w:val="2"/>
        </w:numPr>
        <w:spacing w:after="60"/>
      </w:pPr>
      <w:r>
        <w:rPr>
          <w:sz w:val="21"/>
          <w:szCs w:val="21"/>
        </w:rPr>
        <w:t xml:space="preserve">Taxes are the Client’s responsibility, excluding taxes on Leadra’s net income.</w:t>
      </w:r>
    </w:p>
    <w:p>
      <w:pPr>
        <w:pStyle w:val="Heading1"/>
      </w:pPr>
      <w:r>
        <w:t xml:space="preserve">5. Client Obligations (Stipulations)</w:t>
      </w:r>
    </w:p>
    <w:p>
      <w:pPr>
        <w:spacing w:after="120"/>
      </w:pPr>
      <w:r>
        <w:rPr>
          <w:b w:val="false"/>
          <w:bCs w:val="false"/>
          <w:i w:val="false"/>
          <w:iCs w:val="false"/>
          <w:color w:val="000000"/>
          <w:sz w:val="21"/>
          <w:szCs w:val="21"/>
        </w:rPr>
        <w:t xml:space="preserve">The guarantee in Section 3 is conditioned on the Client doing all of the following throughout the term:</w:t>
      </w:r>
    </w:p>
    <w:p>
      <w:pPr>
        <w:pStyle w:val="ListParagraph"/>
        <w:numPr>
          <w:ilvl w:val="0"/>
          <w:numId w:val="2"/>
        </w:numPr>
        <w:spacing w:after="60"/>
      </w:pPr>
      <w:r>
        <w:rPr>
          <w:sz w:val="21"/>
          <w:szCs w:val="21"/>
        </w:rPr>
        <w:t xml:space="preserve">Fund the committed advertising budget in Schedule B for the full 90 days through Client-owned Google/Meta accounts.</w:t>
      </w:r>
    </w:p>
    <w:p>
      <w:pPr>
        <w:pStyle w:val="ListParagraph"/>
        <w:numPr>
          <w:ilvl w:val="0"/>
          <w:numId w:val="2"/>
        </w:numPr>
        <w:spacing w:after="60"/>
      </w:pPr>
      <w:r>
        <w:rPr>
          <w:sz w:val="21"/>
          <w:szCs w:val="21"/>
        </w:rPr>
        <w:t xml:space="preserve">Approve content and creative within 2 business days so that at least 30 posts per month across at least 3 platforms can be published.</w:t>
      </w:r>
    </w:p>
    <w:p>
      <w:pPr>
        <w:pStyle w:val="ListParagraph"/>
        <w:numPr>
          <w:ilvl w:val="0"/>
          <w:numId w:val="2"/>
        </w:numPr>
        <w:spacing w:after="60"/>
      </w:pPr>
      <w:r>
        <w:rPr>
          <w:sz w:val="21"/>
          <w:szCs w:val="21"/>
        </w:rPr>
        <w:t xml:space="preserve">Answer inbound calls live and return missed calls within 5 minutes during business hours, or engage Leadra’s AI Voice Assistant add-on.</w:t>
      </w:r>
    </w:p>
    <w:p>
      <w:pPr>
        <w:pStyle w:val="ListParagraph"/>
        <w:numPr>
          <w:ilvl w:val="0"/>
          <w:numId w:val="2"/>
        </w:numPr>
        <w:spacing w:after="60"/>
      </w:pPr>
      <w:r>
        <w:rPr>
          <w:sz w:val="21"/>
          <w:szCs w:val="21"/>
        </w:rPr>
        <w:t xml:space="preserve">Provide timely access to accounts, assets, and accurate information; maintain capacity to see and treat new patients.</w:t>
      </w:r>
    </w:p>
    <w:p>
      <w:pPr>
        <w:pStyle w:val="Heading1"/>
      </w:pPr>
      <w:r>
        <w:t xml:space="preserve">6. Client Cooperation &amp; Delays</w:t>
      </w:r>
    </w:p>
    <w:p>
      <w:pPr>
        <w:spacing w:after="120"/>
      </w:pPr>
      <w:r>
        <w:rPr>
          <w:b w:val="false"/>
          <w:bCs w:val="false"/>
          <w:i w:val="false"/>
          <w:iCs w:val="false"/>
          <w:color w:val="000000"/>
          <w:sz w:val="21"/>
          <w:szCs w:val="21"/>
        </w:rPr>
        <w:t xml:space="preserve">Time is of the essence for Client approvals and access. Any delay, missing approval, withheld access, budget shortfall, or inaccurate information caused by the Client extends every Leadra deadline (including the 90-day period) day-for-day and, if material or uncured for 5 business days, voids the guarantee without refund.</w:t>
      </w:r>
    </w:p>
    <w:p>
      <w:pPr>
        <w:pStyle w:val="Heading1"/>
      </w:pPr>
      <w:r>
        <w:t xml:space="preserve">7. Term, Renewal &amp; Continuation</w:t>
      </w:r>
    </w:p>
    <w:p>
      <w:pPr>
        <w:spacing w:after="120"/>
      </w:pPr>
      <w:r>
        <w:rPr>
          <w:b w:val="false"/>
          <w:bCs w:val="false"/>
          <w:i w:val="false"/>
          <w:iCs w:val="false"/>
          <w:color w:val="000000"/>
          <w:sz w:val="21"/>
          <w:szCs w:val="21"/>
        </w:rPr>
        <w:t xml:space="preserve">The engagement begins on the Effective Date, includes ~7 days of setup, and runs for a 90-day performance period. Systems built remain available to the Client afterward. Optional ongoing management is offered month-to-month under a separate order and may auto-renew monthly until cancelled with 14 days’ notice.</w:t>
      </w:r>
    </w:p>
    <w:p>
      <w:pPr>
        <w:pStyle w:val="Heading1"/>
      </w:pPr>
      <w:r>
        <w:t xml:space="preserve">8. Intellectual Property, License &amp; Portfolio Rights</w:t>
      </w:r>
    </w:p>
    <w:p>
      <w:pPr>
        <w:spacing w:after="120"/>
      </w:pPr>
      <w:r>
        <w:rPr>
          <w:b w:val="false"/>
          <w:bCs w:val="false"/>
          <w:i w:val="false"/>
          <w:iCs w:val="false"/>
          <w:color w:val="000000"/>
          <w:sz w:val="21"/>
          <w:szCs w:val="21"/>
        </w:rPr>
        <w:t xml:space="preserve">Leadra owns and retains all rights to its systems, software, tools, templates, automations, prompts, workflows, and methodologies (“Leadra IP”), including improvements. Upon full payment, the Client receives a non-exclusive, non-transferable license to the deliverables created specifically for the Client for its own internal business use. The Client owns its ad accounts, resulting leads, and patient data.</w:t>
      </w:r>
    </w:p>
    <w:p>
      <w:pPr>
        <w:spacing w:after="120"/>
      </w:pPr>
      <w:r>
        <w:rPr>
          <w:b w:val="false"/>
          <w:bCs w:val="false"/>
          <w:i w:val="false"/>
          <w:iCs w:val="false"/>
          <w:color w:val="000000"/>
          <w:sz w:val="21"/>
          <w:szCs w:val="21"/>
        </w:rPr>
        <w:t xml:space="preserve">Portfolio rights. Leadra may identify the Client as a client and use non-confidential, anonymized results, creatives, and the Client’s name/logo in case studies and marketing, unless the Client opts out in writing.</w:t>
      </w:r>
    </w:p>
    <w:p>
      <w:pPr>
        <w:pStyle w:val="Heading1"/>
      </w:pPr>
      <w:r>
        <w:t xml:space="preserve">9. Confidentiality</w:t>
      </w:r>
    </w:p>
    <w:p>
      <w:pPr>
        <w:spacing w:after="120"/>
      </w:pPr>
      <w:r>
        <w:rPr>
          <w:b w:val="false"/>
          <w:bCs w:val="false"/>
          <w:i w:val="false"/>
          <w:iCs w:val="false"/>
          <w:color w:val="000000"/>
          <w:sz w:val="21"/>
          <w:szCs w:val="21"/>
        </w:rPr>
        <w:t xml:space="preserve">Each Party will protect the other’s non-public information, use it only to perform under this Agreement, and not disclose it except to personnel and contractors who need it. This Section survives termination for 2 years (trade secrets, indefinitely).</w:t>
      </w:r>
    </w:p>
    <w:p>
      <w:pPr>
        <w:pStyle w:val="Heading1"/>
      </w:pPr>
      <w:r>
        <w:t xml:space="preserve">10. Disclaimers &amp; No Other Warranties</w:t>
      </w:r>
    </w:p>
    <w:p>
      <w:pPr>
        <w:spacing w:after="120"/>
      </w:pPr>
      <w:r>
        <w:rPr>
          <w:b/>
          <w:bCs/>
          <w:i w:val="false"/>
          <w:iCs w:val="false"/>
          <w:color w:val="000000"/>
          <w:sz w:val="21"/>
          <w:szCs w:val="21"/>
        </w:rPr>
        <w:t xml:space="preserve">Except for the express guarantee in Section 3, the services are provided “as is.” Leadra disclaims all other warranties, express or implied, including merchantability, fitness for a particular purpose, and non-infringement, and does not warrant any specific revenue, ranking, conversion, or other result beyond Section 3.</w:t>
      </w:r>
    </w:p>
    <w:p>
      <w:pPr>
        <w:spacing w:after="120"/>
      </w:pPr>
      <w:r>
        <w:rPr>
          <w:b w:val="false"/>
          <w:bCs w:val="false"/>
          <w:i w:val="false"/>
          <w:iCs w:val="false"/>
          <w:color w:val="000000"/>
          <w:sz w:val="21"/>
          <w:szCs w:val="21"/>
        </w:rPr>
        <w:t xml:space="preserve">Third-party platforms. Google, Meta, Klarna, Affirm, and similar platforms are independent third parties. Leadra is not responsible for their policies, pricing, algorithm or policy changes, ad disapprovals, account suspensions or bans, outages, or other actions outside Leadra’s reasonable control, and such events do not constitute a Leadra breach.</w:t>
      </w:r>
    </w:p>
    <w:p>
      <w:pPr>
        <w:pStyle w:val="Heading1"/>
      </w:pPr>
      <w:r>
        <w:t xml:space="preserve">11. Limitation of Liability</w:t>
      </w:r>
    </w:p>
    <w:p>
      <w:pPr>
        <w:spacing w:after="120"/>
      </w:pPr>
      <w:r>
        <w:rPr>
          <w:b/>
          <w:bCs/>
          <w:i w:val="false"/>
          <w:iCs w:val="false"/>
          <w:color w:val="000000"/>
          <w:sz w:val="21"/>
          <w:szCs w:val="21"/>
        </w:rPr>
        <w:t xml:space="preserve">To the maximum extent permitted by law: (a) Leadra’s total aggregate liability arising out of or relating to this Agreement will not exceed the service fee actually paid by the Client; and (b) neither Party is liable for any indirect, incidental, special, consequential, exemplary, or punitive damages, or for lost profits, revenue, goodwill, or data, even if advised of the possibility. This Section survives termination.</w:t>
      </w:r>
    </w:p>
    <w:p>
      <w:pPr>
        <w:pStyle w:val="Heading1"/>
      </w:pPr>
      <w:r>
        <w:t xml:space="preserve">12. Indemnification</w:t>
      </w:r>
    </w:p>
    <w:p>
      <w:pPr>
        <w:spacing w:after="120"/>
      </w:pPr>
      <w:r>
        <w:rPr>
          <w:b w:val="false"/>
          <w:bCs w:val="false"/>
          <w:i w:val="false"/>
          <w:iCs w:val="false"/>
          <w:color w:val="000000"/>
          <w:sz w:val="21"/>
          <w:szCs w:val="21"/>
        </w:rPr>
        <w:t xml:space="preserve">The Client will defend, indemnify, and hold harmless Leadra, Bridge Supply Co LLC, and their owners, employees, and contractors from any third-party claim, loss, fine, or expense (including reasonable attorneys’ fees) arising from: (a) the Client’s products, services, or treatment of patients; (b) the Client’s content, offers, claims, or representations; (c) the Client’s violation of law, professional/licensing rules, or platform policies; (d) inaccurate information the Client provides; or (e) the Client’s breach of this Agreement.</w:t>
      </w:r>
    </w:p>
    <w:p>
      <w:pPr>
        <w:pStyle w:val="Heading1"/>
      </w:pPr>
      <w:r>
        <w:t xml:space="preserve">13. Non-Solicitation, Non-Circumvention &amp; Non-Disparagement</w:t>
      </w:r>
    </w:p>
    <w:p>
      <w:pPr>
        <w:pStyle w:val="ListParagraph"/>
        <w:numPr>
          <w:ilvl w:val="0"/>
          <w:numId w:val="2"/>
        </w:numPr>
        <w:spacing w:after="60"/>
      </w:pPr>
      <w:r>
        <w:rPr>
          <w:sz w:val="21"/>
          <w:szCs w:val="21"/>
        </w:rPr>
        <w:t xml:space="preserve">During the term and for 12 months after, the Client will not solicit, hire, or engage Leadra’s employees or contractors introduced through this engagement.</w:t>
      </w:r>
    </w:p>
    <w:p>
      <w:pPr>
        <w:pStyle w:val="ListParagraph"/>
        <w:numPr>
          <w:ilvl w:val="0"/>
          <w:numId w:val="2"/>
        </w:numPr>
        <w:spacing w:after="60"/>
      </w:pPr>
      <w:r>
        <w:rPr>
          <w:sz w:val="21"/>
          <w:szCs w:val="21"/>
        </w:rPr>
        <w:t xml:space="preserve">The Client will not circumvent Leadra to engage its subcontractors, vendors, or tools directly to replicate the services.</w:t>
      </w:r>
    </w:p>
    <w:p>
      <w:pPr>
        <w:pStyle w:val="ListParagraph"/>
        <w:numPr>
          <w:ilvl w:val="0"/>
          <w:numId w:val="2"/>
        </w:numPr>
        <w:spacing w:after="60"/>
      </w:pPr>
      <w:r>
        <w:rPr>
          <w:sz w:val="21"/>
          <w:szCs w:val="21"/>
        </w:rPr>
        <w:t xml:space="preserve">The Parties will not publicly disparage one another; concerns will be raised privately and in good faith.</w:t>
      </w:r>
    </w:p>
    <w:p>
      <w:pPr>
        <w:pStyle w:val="Heading1"/>
      </w:pPr>
      <w:r>
        <w:t xml:space="preserve">14. Independent Contractor</w:t>
      </w:r>
    </w:p>
    <w:p>
      <w:pPr>
        <w:spacing w:after="120"/>
      </w:pPr>
      <w:r>
        <w:rPr>
          <w:b w:val="false"/>
          <w:bCs w:val="false"/>
          <w:i w:val="false"/>
          <w:iCs w:val="false"/>
          <w:color w:val="000000"/>
          <w:sz w:val="21"/>
          <w:szCs w:val="21"/>
        </w:rPr>
        <w:t xml:space="preserve">Leadra is an independent contractor and may use subcontractors. Nothing here creates an employment, partnership, joint-venture, agency, or fiduciary relationship. Leadra controls the manner and means of performing the services.</w:t>
      </w:r>
    </w:p>
    <w:p>
      <w:pPr>
        <w:pStyle w:val="Heading1"/>
      </w:pPr>
      <w:r>
        <w:t xml:space="preserve">15. Compliance &amp; Client Representations</w:t>
      </w:r>
    </w:p>
    <w:p>
      <w:pPr>
        <w:spacing w:after="120"/>
      </w:pPr>
      <w:r>
        <w:rPr>
          <w:b w:val="false"/>
          <w:bCs w:val="false"/>
          <w:i w:val="false"/>
          <w:iCs w:val="false"/>
          <w:color w:val="000000"/>
          <w:sz w:val="21"/>
          <w:szCs w:val="21"/>
        </w:rPr>
        <w:t xml:space="preserve">The Client represents that it holds all licenses required to operate, that its claims and offers are truthful and lawful, and that it is solely responsible for compliance with dental/medical advertising, privacy (including patient information), and consumer-protection laws. The Client is responsible for obtaining patient consents and for the accuracy of any clinical claims used in marketing.</w:t>
      </w:r>
    </w:p>
    <w:p>
      <w:pPr>
        <w:pStyle w:val="Heading1"/>
      </w:pPr>
      <w:r>
        <w:t xml:space="preserve">16. Force Majeure</w:t>
      </w:r>
    </w:p>
    <w:p>
      <w:pPr>
        <w:spacing w:after="120"/>
      </w:pPr>
      <w:r>
        <w:rPr>
          <w:b w:val="false"/>
          <w:bCs w:val="false"/>
          <w:i w:val="false"/>
          <w:iCs w:val="false"/>
          <w:color w:val="000000"/>
          <w:sz w:val="21"/>
          <w:szCs w:val="21"/>
        </w:rPr>
        <w:t xml:space="preserve">Neither Party is liable for delay or failure caused by events beyond its reasonable control, including platform changes or suspensions not caused by that Party, outages, labor issues, government action, or acts of God.</w:t>
      </w:r>
    </w:p>
    <w:p>
      <w:pPr>
        <w:pStyle w:val="Heading1"/>
      </w:pPr>
      <w:r>
        <w:t xml:space="preserve">17. Termination</w:t>
      </w:r>
    </w:p>
    <w:p>
      <w:pPr>
        <w:spacing w:after="120"/>
      </w:pPr>
      <w:r>
        <w:rPr>
          <w:b w:val="false"/>
          <w:bCs w:val="false"/>
          <w:i w:val="false"/>
          <w:iCs w:val="false"/>
          <w:color w:val="000000"/>
          <w:sz w:val="21"/>
          <w:szCs w:val="21"/>
        </w:rPr>
        <w:t xml:space="preserve">Either Party may terminate for a material breach not cured within 10 days of written notice. Leadra may suspend or terminate immediately for non-payment or chargeback. On termination, the Client pays for services performed through the termination date; Sections 3–4 and 8–19 survive. Early termination by the Client without cause voids the guarantee and forfeits any refund.</w:t>
      </w:r>
    </w:p>
    <w:p>
      <w:pPr>
        <w:pStyle w:val="Heading1"/>
      </w:pPr>
      <w:r>
        <w:t xml:space="preserve">18. Dispute Resolution &amp; Arbitration</w:t>
      </w:r>
    </w:p>
    <w:p>
      <w:pPr>
        <w:spacing w:after="120"/>
      </w:pPr>
      <w:r>
        <w:rPr>
          <w:b/>
          <w:bCs/>
          <w:i w:val="false"/>
          <w:iCs w:val="false"/>
          <w:color w:val="000000"/>
          <w:sz w:val="21"/>
          <w:szCs w:val="21"/>
        </w:rPr>
        <w:t xml:space="preserve">The Parties will first attempt to resolve any dispute informally. Any unresolved dispute will be settled by binding arbitration administered by the American Arbitration Association under its Commercial Rules, seated in Mecklenburg County, North Carolina. Each Party waives any right to a jury trial and to participate in any class or representative action. The prevailing Party is entitled to its reasonable attorneys’ fees and costs. Any claim must be brought within one (1) year of accrual or it is waived. A Party may seek injunctive relief for IP or confidentiality breaches in court.</w:t>
      </w:r>
    </w:p>
    <w:p>
      <w:pPr>
        <w:pStyle w:val="Heading1"/>
      </w:pPr>
      <w:r>
        <w:t xml:space="preserve">19. General</w:t>
      </w:r>
    </w:p>
    <w:p>
      <w:pPr>
        <w:spacing w:after="120"/>
      </w:pPr>
      <w:r>
        <w:rPr>
          <w:b w:val="false"/>
          <w:bCs w:val="false"/>
          <w:i w:val="false"/>
          <w:iCs w:val="false"/>
          <w:color w:val="000000"/>
          <w:sz w:val="21"/>
          <w:szCs w:val="21"/>
        </w:rPr>
        <w:t xml:space="preserve">This Agreement is governed by North Carolina law. It is the entire agreement, supersedes prior discussions, and may be amended only in a writing signed by both Parties. The Client may not assign without Leadra’s consent; Leadra may assign to an affiliate or successor. If any provision is unenforceable, the rest remains in effect and the provision is enforced to the maximum extent permitted. No waiver is implied by delay. Notices are effective when sent to the emails in Section 1. This Agreement may be executed electronically and in counterparts, each an original.</w:t>
      </w:r>
    </w:p>
    <w:p>
      <w:pPr>
        <w:pStyle w:val="Heading1"/>
        <w:pageBreakBefore/>
      </w:pPr>
      <w:r>
        <w:t xml:space="preserve">20. Signatures</w:t>
      </w:r>
    </w:p>
    <w:p>
      <w:pPr>
        <w:spacing w:after="120"/>
      </w:pPr>
      <w:r>
        <w:rPr>
          <w:b w:val="false"/>
          <w:bCs w:val="false"/>
          <w:i w:val="false"/>
          <w:iCs w:val="false"/>
          <w:color w:val="000000"/>
          <w:sz w:val="21"/>
          <w:szCs w:val="21"/>
        </w:rPr>
        <w:t xml:space="preserve">By signing below, each Party acknowledges it has read, understood, and agrees to this Agreement and its Schedules.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tcMar>
              <w:right w:type="dxa" w:w="240"/>
            </w:tcMar>
          </w:tcPr>
          <w:p>
            <w:r>
              <w:rPr>
                <w:b/>
                <w:bCs/>
                <w:sz w:val="20"/>
                <w:szCs w:val="20"/>
              </w:rPr>
              <w:t xml:space="preserve">PROVIDER — Leadra.io (Bridge Supply Co LLC)</w:t>
            </w:r>
          </w:p>
          <w:p>
            <w:pPr>
              <w:pBdr>
                <w:bottom w:val="single" w:color="333333" w:sz="6" w:space="2"/>
              </w:pBdr>
              <w:spacing w:after="0" w:before="360"/>
            </w:pPr>
            <w:r>
              <w:rPr>
                <w:sz w:val="21"/>
                <w:szCs w:val="21"/>
              </w:rPr>
              <w:t xml:space="preserve"> </w:t>
            </w:r>
          </w:p>
          <w:p>
            <w:pPr>
              <w:spacing w:after="240"/>
            </w:pPr>
            <w:r>
              <w:rPr>
                <w:color w:val="666666"/>
                <w:sz w:val="18"/>
                <w:szCs w:val="18"/>
              </w:rPr>
              <w:t xml:space="preserve">Provider Signature</w:t>
            </w:r>
          </w:p>
          <w:p>
            <w:pPr>
              <w:pBdr>
                <w:bottom w:val="single" w:color="333333" w:sz="6" w:space="2"/>
              </w:pBdr>
              <w:spacing w:after="0" w:before="360"/>
            </w:pPr>
            <w:r>
              <w:rPr>
                <w:sz w:val="21"/>
                <w:szCs w:val="21"/>
              </w:rPr>
              <w:t xml:space="preserve"> </w:t>
            </w:r>
          </w:p>
          <w:p>
            <w:pPr>
              <w:spacing w:after="240"/>
            </w:pPr>
            <w:r>
              <w:rPr>
                <w:color w:val="666666"/>
                <w:sz w:val="18"/>
                <w:szCs w:val="18"/>
              </w:rPr>
              <w:t xml:space="preserve">Provider Name &amp; Title</w:t>
            </w:r>
          </w:p>
          <w:p>
            <w:pPr>
              <w:pBdr>
                <w:bottom w:val="single" w:color="333333" w:sz="6" w:space="2"/>
              </w:pBdr>
              <w:spacing w:after="0" w:before="360"/>
            </w:pPr>
            <w:r>
              <w:rPr>
                <w:sz w:val="21"/>
                <w:szCs w:val="21"/>
              </w:rPr>
              <w:t xml:space="preserve"> </w:t>
            </w:r>
          </w:p>
          <w:p>
            <w:pPr>
              <w:spacing w:after="240"/>
            </w:pPr>
            <w:r>
              <w:rPr>
                <w:color w:val="666666"/>
                <w:sz w:val="18"/>
                <w:szCs w:val="18"/>
              </w:rPr>
              <w:t xml:space="preserve">Provider Date</w:t>
            </w:r>
          </w:p>
        </w:tc>
        <w:tc>
          <w:tcPr>
            <w:tcW w:type="dxa" w:w="4680"/>
            <w:tcBorders>
              <w:top w:val="none"/>
              <w:left w:val="none"/>
              <w:bottom w:val="none"/>
              <w:right w:val="none"/>
            </w:tcBorders>
            <w:tcMar>
              <w:left w:type="dxa" w:w="240"/>
            </w:tcMar>
          </w:tcPr>
          <w:p>
            <w:r>
              <w:rPr>
                <w:b/>
                <w:bCs/>
                <w:sz w:val="20"/>
                <w:szCs w:val="20"/>
              </w:rPr>
              <w:t xml:space="preserve">CLIENT</w:t>
            </w:r>
          </w:p>
          <w:p>
            <w:pPr>
              <w:pBdr>
                <w:bottom w:val="single" w:color="333333" w:sz="6" w:space="2"/>
              </w:pBdr>
              <w:spacing w:after="0" w:before="360"/>
            </w:pPr>
            <w:r>
              <w:rPr>
                <w:sz w:val="21"/>
                <w:szCs w:val="21"/>
              </w:rPr>
              <w:t xml:space="preserve"> </w:t>
            </w:r>
          </w:p>
          <w:p>
            <w:pPr>
              <w:spacing w:after="240"/>
            </w:pPr>
            <w:r>
              <w:rPr>
                <w:color w:val="666666"/>
                <w:sz w:val="18"/>
                <w:szCs w:val="18"/>
              </w:rPr>
              <w:t xml:space="preserve">Client Signature</w:t>
            </w:r>
          </w:p>
          <w:p>
            <w:pPr>
              <w:pBdr>
                <w:bottom w:val="single" w:color="333333" w:sz="6" w:space="2"/>
              </w:pBdr>
              <w:spacing w:after="0" w:before="360"/>
            </w:pPr>
            <w:r>
              <w:rPr>
                <w:sz w:val="21"/>
                <w:szCs w:val="21"/>
              </w:rPr>
              <w:t xml:space="preserve"> </w:t>
            </w:r>
          </w:p>
          <w:p>
            <w:pPr>
              <w:spacing w:after="240"/>
            </w:pPr>
            <w:r>
              <w:rPr>
                <w:color w:val="666666"/>
                <w:sz w:val="18"/>
                <w:szCs w:val="18"/>
              </w:rPr>
              <w:t xml:space="preserve">Client Name &amp; Title</w:t>
            </w:r>
          </w:p>
          <w:p>
            <w:pPr>
              <w:pBdr>
                <w:bottom w:val="single" w:color="333333" w:sz="6" w:space="2"/>
              </w:pBdr>
              <w:spacing w:after="0" w:before="360"/>
            </w:pPr>
            <w:r>
              <w:rPr>
                <w:sz w:val="21"/>
                <w:szCs w:val="21"/>
              </w:rPr>
              <w:t xml:space="preserve"> </w:t>
            </w:r>
          </w:p>
          <w:p>
            <w:pPr>
              <w:spacing w:after="240"/>
            </w:pPr>
            <w:r>
              <w:rPr>
                <w:color w:val="666666"/>
                <w:sz w:val="18"/>
                <w:szCs w:val="18"/>
              </w:rPr>
              <w:t xml:space="preserve">Client Date</w:t>
            </w:r>
          </w:p>
        </w:tc>
      </w:tr>
    </w:tbl>
    <w:p>
      <w:pPr>
        <w:pStyle w:val="Heading1"/>
        <w:pageBreakBefore/>
      </w:pPr>
      <w:r>
        <w:t xml:space="preserve">Schedule A — Full Scope of Services</w:t>
      </w:r>
    </w:p>
    <w:p>
      <w:pPr>
        <w:spacing w:after="120"/>
      </w:pPr>
      <w:r>
        <w:rPr>
          <w:b w:val="false"/>
          <w:bCs w:val="false"/>
          <w:i w:val="false"/>
          <w:iCs w:val="false"/>
          <w:color w:val="000000"/>
          <w:sz w:val="21"/>
          <w:szCs w:val="21"/>
        </w:rPr>
        <w:t xml:space="preserve">Included Leadra systems, deployed and managed as applicable to the practice:</w:t>
      </w:r>
    </w:p>
    <w:p>
      <w:pPr>
        <w:pStyle w:val="ListParagraph"/>
        <w:numPr>
          <w:ilvl w:val="0"/>
          <w:numId w:val="2"/>
        </w:numPr>
        <w:spacing w:after="60"/>
      </w:pPr>
      <w:r>
        <w:rPr>
          <w:sz w:val="21"/>
          <w:szCs w:val="21"/>
        </w:rPr>
        <w:t xml:space="preserve">Business &amp; Marketing Audit — competitor, website, call, and CRM analysis.</w:t>
      </w:r>
    </w:p>
    <w:p>
      <w:pPr>
        <w:pStyle w:val="ListParagraph"/>
        <w:numPr>
          <w:ilvl w:val="0"/>
          <w:numId w:val="2"/>
        </w:numPr>
        <w:spacing w:after="60"/>
      </w:pPr>
      <w:r>
        <w:rPr>
          <w:sz w:val="21"/>
          <w:szCs w:val="21"/>
        </w:rPr>
        <w:t xml:space="preserve">Client Acquisition System — managed Google + Meta ads, funnels, booking.</w:t>
      </w:r>
    </w:p>
    <w:p>
      <w:pPr>
        <w:pStyle w:val="ListParagraph"/>
        <w:numPr>
          <w:ilvl w:val="0"/>
          <w:numId w:val="2"/>
        </w:numPr>
        <w:spacing w:after="60"/>
      </w:pPr>
      <w:r>
        <w:rPr>
          <w:sz w:val="21"/>
          <w:szCs w:val="21"/>
        </w:rPr>
        <w:t xml:space="preserve">AI Voice Assistant — 24/7 call answering, qualification, booking, follow-up.</w:t>
      </w:r>
    </w:p>
    <w:p>
      <w:pPr>
        <w:pStyle w:val="ListParagraph"/>
        <w:numPr>
          <w:ilvl w:val="0"/>
          <w:numId w:val="2"/>
        </w:numPr>
        <w:spacing w:after="60"/>
      </w:pPr>
      <w:r>
        <w:rPr>
          <w:sz w:val="21"/>
          <w:szCs w:val="21"/>
        </w:rPr>
        <w:t xml:space="preserve">High-Converting Website &amp; Funnel — build or improve, connected to CRM.</w:t>
      </w:r>
    </w:p>
    <w:p>
      <w:pPr>
        <w:pStyle w:val="ListParagraph"/>
        <w:numPr>
          <w:ilvl w:val="0"/>
          <w:numId w:val="2"/>
        </w:numPr>
        <w:spacing w:after="60"/>
      </w:pPr>
      <w:r>
        <w:rPr>
          <w:sz w:val="21"/>
          <w:szCs w:val="21"/>
        </w:rPr>
        <w:t xml:space="preserve">Conversion Optimization — landing pages, call flows, booking, pipeline.</w:t>
      </w:r>
    </w:p>
    <w:p>
      <w:pPr>
        <w:pStyle w:val="ListParagraph"/>
        <w:numPr>
          <w:ilvl w:val="0"/>
          <w:numId w:val="2"/>
        </w:numPr>
        <w:spacing w:after="60"/>
      </w:pPr>
      <w:r>
        <w:rPr>
          <w:sz w:val="21"/>
          <w:szCs w:val="21"/>
        </w:rPr>
        <w:t xml:space="preserve">Content Engine — short/long/vertical content; up to 60+ pieces produced.</w:t>
      </w:r>
    </w:p>
    <w:p>
      <w:pPr>
        <w:pStyle w:val="ListParagraph"/>
        <w:numPr>
          <w:ilvl w:val="0"/>
          <w:numId w:val="2"/>
        </w:numPr>
        <w:spacing w:after="60"/>
      </w:pPr>
      <w:r>
        <w:rPr>
          <w:sz w:val="21"/>
          <w:szCs w:val="21"/>
        </w:rPr>
        <w:t xml:space="preserve">SEO &amp; AI Search Visibility — Google, Maps, Yelp, Apple Maps, ChatGPT, Gemini.</w:t>
      </w:r>
    </w:p>
    <w:p>
      <w:pPr>
        <w:pStyle w:val="ListParagraph"/>
        <w:numPr>
          <w:ilvl w:val="0"/>
          <w:numId w:val="2"/>
        </w:numPr>
        <w:spacing w:after="60"/>
      </w:pPr>
      <w:r>
        <w:rPr>
          <w:sz w:val="21"/>
          <w:szCs w:val="21"/>
        </w:rPr>
        <w:t xml:space="preserve">Review &amp; Reputation System — automated 5-star review generation and routing.</w:t>
      </w:r>
    </w:p>
    <w:p>
      <w:pPr>
        <w:pStyle w:val="ListParagraph"/>
        <w:numPr>
          <w:ilvl w:val="0"/>
          <w:numId w:val="2"/>
        </w:numPr>
        <w:spacing w:after="60"/>
      </w:pPr>
      <w:r>
        <w:rPr>
          <w:sz w:val="21"/>
          <w:szCs w:val="21"/>
        </w:rPr>
        <w:t xml:space="preserve">Client Reactivation — SMS/email sequences to dormant patients.</w:t>
      </w:r>
    </w:p>
    <w:p>
      <w:pPr>
        <w:pStyle w:val="ListParagraph"/>
        <w:numPr>
          <w:ilvl w:val="0"/>
          <w:numId w:val="2"/>
        </w:numPr>
        <w:spacing w:after="60"/>
      </w:pPr>
      <w:r>
        <w:rPr>
          <w:sz w:val="21"/>
          <w:szCs w:val="21"/>
        </w:rPr>
        <w:t xml:space="preserve">Custom AI Agents — role-specific agents for marketing, support, operations.</w:t>
      </w:r>
    </w:p>
    <w:p>
      <w:pPr>
        <w:pStyle w:val="ListParagraph"/>
        <w:numPr>
          <w:ilvl w:val="0"/>
          <w:numId w:val="2"/>
        </w:numPr>
        <w:spacing w:after="60"/>
      </w:pPr>
      <w:r>
        <w:rPr>
          <w:sz w:val="21"/>
          <w:szCs w:val="21"/>
        </w:rPr>
        <w:t xml:space="preserve">AI Implementation — installation of tools, automations, integrations.</w:t>
      </w:r>
    </w:p>
    <w:p>
      <w:pPr>
        <w:pStyle w:val="ListParagraph"/>
        <w:numPr>
          <w:ilvl w:val="0"/>
          <w:numId w:val="2"/>
        </w:numPr>
        <w:spacing w:after="60"/>
      </w:pPr>
      <w:r>
        <w:rPr>
          <w:sz w:val="21"/>
          <w:szCs w:val="21"/>
        </w:rPr>
        <w:t xml:space="preserve">AI Consulting &amp; Team Training — for owner and staff (as applicable).</w:t>
      </w:r>
    </w:p>
    <w:p>
      <w:pPr>
        <w:pStyle w:val="ListParagraph"/>
        <w:numPr>
          <w:ilvl w:val="0"/>
          <w:numId w:val="2"/>
        </w:numPr>
        <w:spacing w:after="60"/>
      </w:pPr>
      <w:r>
        <w:rPr>
          <w:sz w:val="21"/>
          <w:szCs w:val="21"/>
        </w:rPr>
        <w:t xml:space="preserve">AI Avatar Creation (optional) — owner-based or professional avatar.</w:t>
      </w:r>
    </w:p>
    <w:p>
      <w:pPr>
        <w:pStyle w:val="ListParagraph"/>
        <w:numPr>
          <w:ilvl w:val="0"/>
          <w:numId w:val="2"/>
        </w:numPr>
        <w:spacing w:after="60"/>
      </w:pPr>
      <w:r>
        <w:rPr>
          <w:sz w:val="21"/>
          <w:szCs w:val="21"/>
        </w:rPr>
        <w:t xml:space="preserve">Local SEO &amp; Map Listings — Google Business Profile, Apple/Yelp optimization.</w:t>
      </w:r>
    </w:p>
    <w:p>
      <w:pPr>
        <w:pStyle w:val="Heading1"/>
        <w:pageBreakBefore/>
      </w:pPr>
      <w:r>
        <w:t xml:space="preserve">Schedule B — Performance Stipulations</w:t>
      </w:r>
    </w:p>
    <w:p>
      <w:pPr>
        <w:spacing w:after="120"/>
      </w:pPr>
      <w:r>
        <w:rPr>
          <w:b w:val="false"/>
          <w:bCs w:val="false"/>
          <w:i w:val="false"/>
          <w:iCs w:val="false"/>
          <w:color w:val="000000"/>
          <w:sz w:val="20"/>
          <w:szCs w:val="20"/>
        </w:rPr>
        <w:t xml:space="preserve">The 90-patient guarantee is backed by an advertising budget scaled to average case value. Higher-value cases require more touches to close and a higher cost per confirmed patient. Figures are U.S. national averages from Google + Meta benchmarks and are finalized after the audit.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1800"/>
        <w:gridCol w:w="2200"/>
      </w:tblGrid>
      <w:tr>
        <w:tc>
          <w:tcPr>
            <w:tcW w:type="dxa" w:w="3360"/>
            <w:tcBorders>
              <w:top w:val="single" w:color="CCCCCC" w:sz="1"/>
              <w:left w:val="single" w:color="CCCCCC" w:sz="1"/>
              <w:bottom w:val="single" w:color="CCCCCC" w:sz="1"/>
              <w:right w:val="single" w:color="CCCCCC" w:sz="1"/>
            </w:tcBorders>
            <w:shd w:fill="E8EEFB" w:val="clear"/>
            <w:tcMar>
              <w:top w:type="dxa" w:w="80"/>
              <w:left w:type="dxa" w:w="120"/>
              <w:bottom w:type="dxa" w:w="80"/>
              <w:right w:type="dxa" w:w="120"/>
            </w:tcMar>
          </w:tcPr>
          <w:p>
            <w:pPr>
              <w:jc w:val="left"/>
            </w:pPr>
            <w:r>
              <w:rPr>
                <w:b/>
                <w:bCs/>
                <w:color w:val="000000"/>
                <w:sz w:val="20"/>
                <w:szCs w:val="20"/>
              </w:rPr>
              <w:t xml:space="preserve">Average Case Value</w:t>
            </w:r>
          </w:p>
        </w:tc>
        <w:tc>
          <w:tcPr>
            <w:tcW w:type="dxa" w:w="2000"/>
            <w:tcBorders>
              <w:top w:val="single" w:color="CCCCCC" w:sz="1"/>
              <w:left w:val="single" w:color="CCCCCC" w:sz="1"/>
              <w:bottom w:val="single" w:color="CCCCCC" w:sz="1"/>
              <w:right w:val="single" w:color="CCCCCC" w:sz="1"/>
            </w:tcBorders>
            <w:shd w:fill="E8EEFB" w:val="clear"/>
            <w:tcMar>
              <w:top w:type="dxa" w:w="80"/>
              <w:left w:type="dxa" w:w="120"/>
              <w:bottom w:type="dxa" w:w="80"/>
              <w:right w:type="dxa" w:w="120"/>
            </w:tcMar>
          </w:tcPr>
          <w:p>
            <w:pPr>
              <w:jc w:val="center"/>
            </w:pPr>
            <w:r>
              <w:rPr>
                <w:b/>
                <w:bCs/>
                <w:color w:val="000000"/>
                <w:sz w:val="20"/>
                <w:szCs w:val="20"/>
              </w:rPr>
              <w:t xml:space="preserve">Cost / Patient</w:t>
            </w:r>
          </w:p>
        </w:tc>
        <w:tc>
          <w:tcPr>
            <w:tcW w:type="dxa" w:w="1800"/>
            <w:tcBorders>
              <w:top w:val="single" w:color="CCCCCC" w:sz="1"/>
              <w:left w:val="single" w:color="CCCCCC" w:sz="1"/>
              <w:bottom w:val="single" w:color="CCCCCC" w:sz="1"/>
              <w:right w:val="single" w:color="CCCCCC" w:sz="1"/>
            </w:tcBorders>
            <w:shd w:fill="E8EEFB" w:val="clear"/>
            <w:tcMar>
              <w:top w:type="dxa" w:w="80"/>
              <w:left w:type="dxa" w:w="120"/>
              <w:bottom w:type="dxa" w:w="80"/>
              <w:right w:type="dxa" w:w="120"/>
            </w:tcMar>
          </w:tcPr>
          <w:p>
            <w:pPr>
              <w:jc w:val="center"/>
            </w:pPr>
            <w:r>
              <w:rPr>
                <w:b/>
                <w:bCs/>
                <w:color w:val="000000"/>
                <w:sz w:val="20"/>
                <w:szCs w:val="20"/>
              </w:rPr>
              <w:t xml:space="preserve">Daily Spend</w:t>
            </w:r>
          </w:p>
        </w:tc>
        <w:tc>
          <w:tcPr>
            <w:tcW w:type="dxa" w:w="2200"/>
            <w:tcBorders>
              <w:top w:val="single" w:color="CCCCCC" w:sz="1"/>
              <w:left w:val="single" w:color="CCCCCC" w:sz="1"/>
              <w:bottom w:val="single" w:color="CCCCCC" w:sz="1"/>
              <w:right w:val="single" w:color="CCCCCC" w:sz="1"/>
            </w:tcBorders>
            <w:shd w:fill="E8EEFB" w:val="clear"/>
            <w:tcMar>
              <w:top w:type="dxa" w:w="80"/>
              <w:left w:type="dxa" w:w="120"/>
              <w:bottom w:type="dxa" w:w="80"/>
              <w:right w:type="dxa" w:w="120"/>
            </w:tcMar>
          </w:tcPr>
          <w:p>
            <w:pPr>
              <w:jc w:val="center"/>
            </w:pPr>
            <w:r>
              <w:rPr>
                <w:b/>
                <w:bCs/>
                <w:color w:val="000000"/>
                <w:sz w:val="20"/>
                <w:szCs w:val="20"/>
              </w:rPr>
              <w:t xml:space="preserve">90-Day Budget</w:t>
            </w:r>
          </w:p>
        </w:tc>
      </w:tr>
      <w:tr>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color w:val="000000"/>
                <w:sz w:val="20"/>
                <w:szCs w:val="20"/>
              </w:rPr>
              <w:t xml:space="preserve">$1,000 — cleanings, whitening</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b w:val="false"/>
                <w:bCs w:val="false"/>
                <w:color w:val="000000"/>
                <w:sz w:val="20"/>
                <w:szCs w:val="20"/>
              </w:rPr>
              <w:t xml:space="preserve">~$300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b w:val="false"/>
                <w:bCs w:val="false"/>
                <w:color w:val="000000"/>
                <w:sz w:val="20"/>
                <w:szCs w:val="20"/>
              </w:rPr>
              <w:t xml:space="preserve">~$300/day</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b/>
                <w:bCs/>
                <w:color w:val="000000"/>
                <w:sz w:val="20"/>
                <w:szCs w:val="20"/>
              </w:rPr>
              <w:t xml:space="preserve">$27,000</w:t>
            </w:r>
          </w:p>
        </w:tc>
      </w:tr>
      <w:tr>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color w:val="000000"/>
                <w:sz w:val="20"/>
                <w:szCs w:val="20"/>
              </w:rPr>
              <w:t xml:space="preserve">$10,000 — veneers, Invisalign</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b w:val="false"/>
                <w:bCs w:val="false"/>
                <w:color w:val="000000"/>
                <w:sz w:val="20"/>
                <w:szCs w:val="20"/>
              </w:rPr>
              <w:t xml:space="preserve">~$500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b w:val="false"/>
                <w:bCs w:val="false"/>
                <w:color w:val="000000"/>
                <w:sz w:val="20"/>
                <w:szCs w:val="20"/>
              </w:rPr>
              <w:t xml:space="preserve">~$500/day</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b/>
                <w:bCs/>
                <w:color w:val="000000"/>
                <w:sz w:val="20"/>
                <w:szCs w:val="20"/>
              </w:rPr>
              <w:t xml:space="preserve">$45,000</w:t>
            </w:r>
          </w:p>
        </w:tc>
      </w:tr>
      <w:tr>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color w:val="000000"/>
                <w:sz w:val="20"/>
                <w:szCs w:val="20"/>
              </w:rPr>
              <w:t xml:space="preserve">$25,000 — multi-tooth implants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b w:val="false"/>
                <w:bCs w:val="false"/>
                <w:color w:val="000000"/>
                <w:sz w:val="20"/>
                <w:szCs w:val="20"/>
              </w:rPr>
              <w:t xml:space="preserve">~$750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b w:val="false"/>
                <w:bCs w:val="false"/>
                <w:color w:val="000000"/>
                <w:sz w:val="20"/>
                <w:szCs w:val="20"/>
              </w:rPr>
              <w:t xml:space="preserve">~$750/day</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b/>
                <w:bCs/>
                <w:color w:val="000000"/>
                <w:sz w:val="20"/>
                <w:szCs w:val="20"/>
              </w:rPr>
              <w:t xml:space="preserve">$67,500</w:t>
            </w:r>
          </w:p>
        </w:tc>
      </w:tr>
      <w:tr>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color w:val="000000"/>
                <w:sz w:val="20"/>
                <w:szCs w:val="20"/>
              </w:rPr>
              <w:t xml:space="preserve">$30,000 — single full arch</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b w:val="false"/>
                <w:bCs w:val="false"/>
                <w:color w:val="000000"/>
                <w:sz w:val="20"/>
                <w:szCs w:val="20"/>
              </w:rPr>
              <w:t xml:space="preserve">~$900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b w:val="false"/>
                <w:bCs w:val="false"/>
                <w:color w:val="000000"/>
                <w:sz w:val="20"/>
                <w:szCs w:val="20"/>
              </w:rPr>
              <w:t xml:space="preserve">~$900/day</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b/>
                <w:bCs/>
                <w:color w:val="000000"/>
                <w:sz w:val="20"/>
                <w:szCs w:val="20"/>
              </w:rPr>
              <w:t xml:space="preserve">$81,000</w:t>
            </w:r>
          </w:p>
        </w:tc>
      </w:tr>
      <w:tr>
        <w:tc>
          <w:tcPr>
            <w:tcW w:type="dxa" w:w="3360"/>
            <w:tcBorders>
              <w:top w:val="single" w:color="CCCCCC" w:sz="1"/>
              <w:left w:val="single" w:color="CCCCCC" w:sz="1"/>
              <w:bottom w:val="single" w:color="CCCCCC" w:sz="1"/>
              <w:right w:val="single" w:color="CCCCCC" w:sz="1"/>
            </w:tcBorders>
            <w:shd w:fill="E9F7EF" w:val="clear"/>
            <w:tcMar>
              <w:top w:type="dxa" w:w="80"/>
              <w:left w:type="dxa" w:w="120"/>
              <w:bottom w:type="dxa" w:w="80"/>
              <w:right w:type="dxa" w:w="120"/>
            </w:tcMar>
          </w:tcPr>
          <w:p>
            <w:pPr>
              <w:jc w:val="left"/>
            </w:pPr>
            <w:r>
              <w:rPr>
                <w:b w:val="false"/>
                <w:bCs w:val="false"/>
                <w:color w:val="000000"/>
                <w:sz w:val="20"/>
                <w:szCs w:val="20"/>
              </w:rPr>
              <w:t xml:space="preserve">$50,000 — full-mouth / All-on-X</w:t>
            </w:r>
          </w:p>
        </w:tc>
        <w:tc>
          <w:tcPr>
            <w:tcW w:type="dxa" w:w="2000"/>
            <w:tcBorders>
              <w:top w:val="single" w:color="CCCCCC" w:sz="1"/>
              <w:left w:val="single" w:color="CCCCCC" w:sz="1"/>
              <w:bottom w:val="single" w:color="CCCCCC" w:sz="1"/>
              <w:right w:val="single" w:color="CCCCCC" w:sz="1"/>
            </w:tcBorders>
            <w:shd w:fill="E9F7EF" w:val="clear"/>
            <w:tcMar>
              <w:top w:type="dxa" w:w="80"/>
              <w:left w:type="dxa" w:w="120"/>
              <w:bottom w:type="dxa" w:w="80"/>
              <w:right w:type="dxa" w:w="120"/>
            </w:tcMar>
          </w:tcPr>
          <w:p>
            <w:pPr>
              <w:jc w:val="center"/>
            </w:pPr>
            <w:r>
              <w:rPr>
                <w:b w:val="false"/>
                <w:bCs w:val="false"/>
                <w:color w:val="000000"/>
                <w:sz w:val="20"/>
                <w:szCs w:val="20"/>
              </w:rPr>
              <w:t xml:space="preserve">~$1,000+</w:t>
            </w:r>
          </w:p>
        </w:tc>
        <w:tc>
          <w:tcPr>
            <w:tcW w:type="dxa" w:w="1800"/>
            <w:tcBorders>
              <w:top w:val="single" w:color="CCCCCC" w:sz="1"/>
              <w:left w:val="single" w:color="CCCCCC" w:sz="1"/>
              <w:bottom w:val="single" w:color="CCCCCC" w:sz="1"/>
              <w:right w:val="single" w:color="CCCCCC" w:sz="1"/>
            </w:tcBorders>
            <w:shd w:fill="E9F7EF" w:val="clear"/>
            <w:tcMar>
              <w:top w:type="dxa" w:w="80"/>
              <w:left w:type="dxa" w:w="120"/>
              <w:bottom w:type="dxa" w:w="80"/>
              <w:right w:type="dxa" w:w="120"/>
            </w:tcMar>
          </w:tcPr>
          <w:p>
            <w:pPr>
              <w:jc w:val="center"/>
            </w:pPr>
            <w:r>
              <w:rPr>
                <w:b w:val="false"/>
                <w:bCs w:val="false"/>
                <w:color w:val="000000"/>
                <w:sz w:val="20"/>
                <w:szCs w:val="20"/>
              </w:rPr>
              <w:t xml:space="preserve">$1,000+/day</w:t>
            </w:r>
          </w:p>
        </w:tc>
        <w:tc>
          <w:tcPr>
            <w:tcW w:type="dxa" w:w="2200"/>
            <w:tcBorders>
              <w:top w:val="single" w:color="CCCCCC" w:sz="1"/>
              <w:left w:val="single" w:color="CCCCCC" w:sz="1"/>
              <w:bottom w:val="single" w:color="CCCCCC" w:sz="1"/>
              <w:right w:val="single" w:color="CCCCCC" w:sz="1"/>
            </w:tcBorders>
            <w:shd w:fill="E9F7EF" w:val="clear"/>
            <w:tcMar>
              <w:top w:type="dxa" w:w="80"/>
              <w:left w:type="dxa" w:w="120"/>
              <w:bottom w:type="dxa" w:w="80"/>
              <w:right w:type="dxa" w:w="120"/>
            </w:tcMar>
          </w:tcPr>
          <w:p>
            <w:pPr>
              <w:jc w:val="center"/>
            </w:pPr>
            <w:r>
              <w:rPr>
                <w:b/>
                <w:bCs/>
                <w:color w:val="000000"/>
                <w:sz w:val="20"/>
                <w:szCs w:val="20"/>
              </w:rPr>
              <w:t xml:space="preserve">$90,000</w:t>
            </w:r>
          </w:p>
        </w:tc>
      </w:tr>
    </w:tbl>
    <w:p>
      <w:pPr>
        <w:spacing w:before="160"/>
      </w:pPr>
      <w:r>
        <w:rPr>
          <w:b/>
          <w:bCs/>
          <w:sz w:val="21"/>
          <w:szCs w:val="21"/>
        </w:rPr>
        <w:t xml:space="preserve">Additional stipulations:</w:t>
      </w:r>
    </w:p>
    <w:p>
      <w:pPr>
        <w:pStyle w:val="ListParagraph"/>
        <w:numPr>
          <w:ilvl w:val="0"/>
          <w:numId w:val="2"/>
        </w:numPr>
        <w:spacing w:after="60"/>
      </w:pPr>
      <w:r>
        <w:rPr>
          <w:sz w:val="21"/>
          <w:szCs w:val="21"/>
        </w:rPr>
        <w:t xml:space="preserve">1,000,000 views requires a minimum of 30 posts/month across at least 3 platforms (Leadra produces; Client approves promptly).</w:t>
      </w:r>
    </w:p>
    <w:p>
      <w:pPr>
        <w:pStyle w:val="ListParagraph"/>
        <w:numPr>
          <w:ilvl w:val="0"/>
          <w:numId w:val="2"/>
        </w:numPr>
        <w:spacing w:after="60"/>
      </w:pPr>
      <w:r>
        <w:rPr>
          <w:sz w:val="21"/>
          <w:szCs w:val="21"/>
        </w:rPr>
        <w:t xml:space="preserve">Client answers inbound calls live and returns missed calls within 5 minutes — or engages the AI Voice Assistant add-on.</w:t>
      </w:r>
    </w:p>
    <w:p>
      <w:pPr>
        <w:pStyle w:val="ListParagraph"/>
        <w:numPr>
          <w:ilvl w:val="0"/>
          <w:numId w:val="2"/>
        </w:numPr>
        <w:spacing w:after="60"/>
      </w:pPr>
      <w:r>
        <w:rPr>
          <w:sz w:val="21"/>
          <w:szCs w:val="21"/>
        </w:rPr>
        <w:t xml:space="preserve">Committed ad budget is funded for the full 90 days through Client-owned Google and Meta accounts.</w:t>
      </w:r>
    </w:p>
    <w:p>
      <w:pPr>
        <w:pBdr>
          <w:top w:val="single" w:color="B8C0D0" w:sz="6" w:space="6"/>
        </w:pBdr>
        <w:spacing w:before="300"/>
      </w:pPr>
      <w:r>
        <w:rPr>
          <w:i/>
          <w:iCs/>
          <w:color w:val="666666"/>
          <w:sz w:val="16"/>
          <w:szCs w:val="16"/>
        </w:rPr>
        <w:t xml:space="preserve">Disclaimer: This document is a template provided for convenience and is not legal advice. Laws and the enforceability of certain clauses (including arbitration, jury/class-action waivers, restrictive covenants, and liability limits) vary by state. Have a licensed North Carolina attorney review and adapt this Agreement before use.</w:t>
      </w:r>
    </w:p>
    <w:sectPr>
      <w:footerReference w:type="default" r:id="rId7"/>
      <w:pgSz w:w="12240" w:h="15840" w:orient="portrait"/>
      <w:pgMar w:top="1296" w:right="1440" w:bottom="1296"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6"/>
        <w:szCs w:val="16"/>
      </w:rPr>
      <w:t xml:space="preserve">Leadra.io — Dental Growth System Services Agreement   |   Page </w:t>
    </w:r>
    <w:r>
      <w:rPr>
        <w:color w:val="666666"/>
        <w:sz w:val="16"/>
        <w:szCs w:val="16"/>
      </w:rPr>
      <w:fldChar w:fldCharType="begin"/>
      <w:instrText xml:space="preserve">PAGE</w:instrText>
      <w:fldChar w:fldCharType="separate"/>
      <w:fldChar w:fldCharType="end"/>
    </w:r>
    <w:r>
      <w:rPr>
        <w:color w:val="666666"/>
        <w:sz w:val="16"/>
        <w:szCs w:val="16"/>
      </w:rPr>
      <w:t xml:space="preserve"> of </w:t>
    </w:r>
    <w:r>
      <w:rPr>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60"/>
      <w:outlineLvl w:val="0"/>
    </w:pPr>
    <w:rPr>
      <w:rFonts w:ascii="Arial" w:cs="Arial" w:eastAsia="Arial" w:hAnsi="Arial"/>
      <w:b/>
      <w:bCs/>
      <w:color w:val="0B1B3B"/>
      <w:sz w:val="24"/>
      <w:szCs w:val="24"/>
    </w:rPr>
  </w:style>
  <w:style w:type="paragraph" w:styleId="Heading2">
    <w:name w:val="Heading 2"/>
    <w:basedOn w:val="Normal"/>
    <w:next w:val="Normal"/>
    <w:qFormat/>
    <w:pPr>
      <w:spacing w:after="80" w:before="160"/>
      <w:outlineLvl w:val="1"/>
    </w:pPr>
    <w:rPr>
      <w:rFonts w:ascii="Arial" w:cs="Arial" w:eastAsia="Arial" w:hAnsi="Arial"/>
      <w:b/>
      <w:bCs/>
      <w:color w:val="2563E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2026-05-20T17:52:37.823Z</dcterms:created>
  <dcterms:modified xsi:type="dcterms:W3CDTF">2026-05-20T17:52:37.823Z</dcterms:modified>
</cp:coreProperties>
</file>

<file path=docProps/custom.xml><?xml version="1.0" encoding="utf-8"?>
<Properties xmlns="http://schemas.openxmlformats.org/officeDocument/2006/custom-properties" xmlns:vt="http://schemas.openxmlformats.org/officeDocument/2006/docPropsVTypes"/>
</file>